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FF" w:rsidRDefault="00DC0FFF" w:rsidP="00DC0FFF">
      <w:pPr>
        <w:keepNext/>
        <w:keepLines/>
        <w:tabs>
          <w:tab w:val="left" w:pos="720"/>
        </w:tabs>
        <w:autoSpaceDE w:val="0"/>
        <w:autoSpaceDN w:val="0"/>
        <w:adjustRightInd w:val="0"/>
        <w:spacing w:before="360" w:after="120" w:line="360" w:lineRule="auto"/>
        <w:ind w:firstLineChars="200" w:firstLine="482"/>
        <w:jc w:val="left"/>
        <w:outlineLvl w:val="2"/>
        <w:rPr>
          <w:b/>
          <w:color w:val="000000"/>
          <w:sz w:val="24"/>
        </w:rPr>
      </w:pPr>
      <w:bookmarkStart w:id="0" w:name="_Toc12637"/>
      <w:bookmarkStart w:id="1" w:name="_Toc20922"/>
      <w:bookmarkStart w:id="2" w:name="_Toc14088"/>
      <w:bookmarkStart w:id="3" w:name="_Toc88839301"/>
      <w:r>
        <w:rPr>
          <w:rFonts w:hint="eastAsia"/>
          <w:b/>
          <w:color w:val="000000"/>
          <w:sz w:val="24"/>
        </w:rPr>
        <w:t>一、</w:t>
      </w:r>
      <w:r>
        <w:rPr>
          <w:b/>
          <w:color w:val="000000"/>
          <w:sz w:val="24"/>
        </w:rPr>
        <w:t>需求一览表</w:t>
      </w:r>
      <w:bookmarkEnd w:id="0"/>
      <w:bookmarkEnd w:id="1"/>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4030"/>
        <w:gridCol w:w="2234"/>
      </w:tblGrid>
      <w:tr w:rsidR="00DC0FFF" w:rsidTr="009B1EFE">
        <w:trPr>
          <w:trHeight w:val="473"/>
          <w:jc w:val="center"/>
        </w:trPr>
        <w:tc>
          <w:tcPr>
            <w:tcW w:w="2378" w:type="dxa"/>
          </w:tcPr>
          <w:p w:rsidR="00DC0FFF" w:rsidRDefault="00DC0FFF" w:rsidP="009B1EFE">
            <w:pPr>
              <w:spacing w:line="360" w:lineRule="auto"/>
              <w:ind w:left="420" w:firstLineChars="100" w:firstLine="240"/>
              <w:rPr>
                <w:bCs/>
                <w:color w:val="000000"/>
                <w:sz w:val="24"/>
              </w:rPr>
            </w:pPr>
            <w:r>
              <w:rPr>
                <w:bCs/>
                <w:color w:val="000000"/>
                <w:sz w:val="24"/>
              </w:rPr>
              <w:t>包号</w:t>
            </w:r>
          </w:p>
        </w:tc>
        <w:tc>
          <w:tcPr>
            <w:tcW w:w="4030" w:type="dxa"/>
            <w:vAlign w:val="center"/>
          </w:tcPr>
          <w:p w:rsidR="00DC0FFF" w:rsidRDefault="00DC0FFF" w:rsidP="009B1EFE">
            <w:pPr>
              <w:spacing w:line="360" w:lineRule="auto"/>
              <w:ind w:left="420"/>
              <w:jc w:val="center"/>
              <w:rPr>
                <w:b/>
                <w:color w:val="000000"/>
                <w:sz w:val="24"/>
              </w:rPr>
            </w:pPr>
            <w:r>
              <w:rPr>
                <w:rFonts w:hint="eastAsia"/>
                <w:b/>
                <w:color w:val="000000"/>
                <w:sz w:val="24"/>
              </w:rPr>
              <w:t>产品</w:t>
            </w:r>
            <w:r>
              <w:rPr>
                <w:b/>
                <w:color w:val="000000"/>
                <w:sz w:val="24"/>
              </w:rPr>
              <w:t>名称</w:t>
            </w:r>
          </w:p>
        </w:tc>
        <w:tc>
          <w:tcPr>
            <w:tcW w:w="2234" w:type="dxa"/>
            <w:vAlign w:val="center"/>
          </w:tcPr>
          <w:p w:rsidR="00DC0FFF" w:rsidRDefault="00DC0FFF" w:rsidP="009B1EFE">
            <w:pPr>
              <w:spacing w:line="360" w:lineRule="auto"/>
              <w:jc w:val="center"/>
              <w:rPr>
                <w:rFonts w:hint="eastAsia"/>
                <w:b/>
                <w:color w:val="000000"/>
                <w:sz w:val="24"/>
              </w:rPr>
            </w:pPr>
            <w:r>
              <w:rPr>
                <w:rFonts w:hint="eastAsia"/>
                <w:b/>
                <w:color w:val="000000"/>
                <w:sz w:val="24"/>
              </w:rPr>
              <w:t>期限</w:t>
            </w:r>
          </w:p>
        </w:tc>
      </w:tr>
      <w:tr w:rsidR="00DC0FFF" w:rsidTr="009B1EFE">
        <w:trPr>
          <w:trHeight w:val="408"/>
          <w:jc w:val="center"/>
        </w:trPr>
        <w:tc>
          <w:tcPr>
            <w:tcW w:w="2378" w:type="dxa"/>
            <w:vAlign w:val="center"/>
          </w:tcPr>
          <w:p w:rsidR="00DC0FFF" w:rsidRDefault="00DC0FFF" w:rsidP="009B1EFE">
            <w:pPr>
              <w:spacing w:line="360" w:lineRule="auto"/>
              <w:jc w:val="center"/>
              <w:rPr>
                <w:bCs/>
                <w:color w:val="000000"/>
                <w:sz w:val="24"/>
                <w:lang w:val="zh-TW"/>
              </w:rPr>
            </w:pPr>
            <w:r>
              <w:rPr>
                <w:bCs/>
                <w:color w:val="000000"/>
                <w:sz w:val="24"/>
                <w:lang w:val="zh-TW"/>
              </w:rPr>
              <w:t>01</w:t>
            </w:r>
          </w:p>
        </w:tc>
        <w:tc>
          <w:tcPr>
            <w:tcW w:w="4030" w:type="dxa"/>
            <w:vAlign w:val="bottom"/>
          </w:tcPr>
          <w:p w:rsidR="00DC0FFF" w:rsidRDefault="00DC0FFF" w:rsidP="009B1EFE">
            <w:pPr>
              <w:spacing w:line="360" w:lineRule="auto"/>
              <w:jc w:val="center"/>
              <w:rPr>
                <w:color w:val="000000"/>
                <w:sz w:val="24"/>
              </w:rPr>
            </w:pPr>
            <w:r>
              <w:rPr>
                <w:rFonts w:hint="eastAsia"/>
                <w:color w:val="000000"/>
                <w:sz w:val="24"/>
              </w:rPr>
              <w:t>吊塔维护保养服务</w:t>
            </w:r>
          </w:p>
        </w:tc>
        <w:tc>
          <w:tcPr>
            <w:tcW w:w="2234" w:type="dxa"/>
            <w:vAlign w:val="center"/>
          </w:tcPr>
          <w:p w:rsidR="00DC0FFF" w:rsidRDefault="00DC0FFF" w:rsidP="009B1EFE">
            <w:pPr>
              <w:spacing w:line="360" w:lineRule="auto"/>
              <w:jc w:val="center"/>
              <w:rPr>
                <w:rFonts w:hint="eastAsia"/>
                <w:color w:val="000000"/>
                <w:sz w:val="24"/>
              </w:rPr>
            </w:pPr>
            <w:r>
              <w:rPr>
                <w:rFonts w:hint="eastAsia"/>
                <w:color w:val="000000"/>
                <w:sz w:val="24"/>
              </w:rPr>
              <w:t>1</w:t>
            </w:r>
            <w:r>
              <w:rPr>
                <w:rFonts w:hint="eastAsia"/>
                <w:color w:val="000000"/>
                <w:sz w:val="24"/>
              </w:rPr>
              <w:t>年</w:t>
            </w:r>
          </w:p>
        </w:tc>
      </w:tr>
    </w:tbl>
    <w:p w:rsidR="00DC0FFF" w:rsidRDefault="00DC0FFF" w:rsidP="00DC0FFF">
      <w:pPr>
        <w:keepNext/>
        <w:keepLines/>
        <w:tabs>
          <w:tab w:val="left" w:pos="720"/>
        </w:tabs>
        <w:autoSpaceDE w:val="0"/>
        <w:autoSpaceDN w:val="0"/>
        <w:adjustRightInd w:val="0"/>
        <w:spacing w:before="360" w:after="120" w:line="360" w:lineRule="auto"/>
        <w:ind w:firstLineChars="200" w:firstLine="482"/>
        <w:jc w:val="left"/>
        <w:outlineLvl w:val="2"/>
        <w:rPr>
          <w:rFonts w:hint="eastAsia"/>
          <w:b/>
          <w:color w:val="000000"/>
          <w:sz w:val="24"/>
        </w:rPr>
      </w:pPr>
      <w:bookmarkStart w:id="4" w:name="_Toc29258"/>
      <w:bookmarkStart w:id="5" w:name="_Toc27590"/>
      <w:bookmarkStart w:id="6" w:name="_Toc20203"/>
      <w:bookmarkStart w:id="7" w:name="_Toc88839302"/>
      <w:r>
        <w:rPr>
          <w:rFonts w:hint="eastAsia"/>
          <w:b/>
          <w:color w:val="000000"/>
          <w:sz w:val="24"/>
        </w:rPr>
        <w:t>二、技术规格</w:t>
      </w:r>
      <w:bookmarkEnd w:id="4"/>
      <w:bookmarkEnd w:id="5"/>
      <w:bookmarkEnd w:id="6"/>
      <w:bookmarkEnd w:id="7"/>
    </w:p>
    <w:p w:rsidR="00DC0FFF" w:rsidRDefault="00DC0FFF" w:rsidP="00DC0FFF">
      <w:pPr>
        <w:spacing w:line="360" w:lineRule="auto"/>
        <w:ind w:firstLineChars="200" w:firstLine="482"/>
        <w:rPr>
          <w:rFonts w:ascii="宋体" w:hAnsi="宋体" w:hint="eastAsia"/>
          <w:b/>
          <w:sz w:val="24"/>
        </w:rPr>
      </w:pPr>
      <w:r>
        <w:rPr>
          <w:rFonts w:ascii="宋体" w:hAnsi="宋体" w:cs="宋体" w:hint="eastAsia"/>
          <w:b/>
          <w:sz w:val="24"/>
        </w:rPr>
        <w:t>★</w:t>
      </w:r>
      <w:r>
        <w:rPr>
          <w:rFonts w:ascii="宋体" w:hAnsi="宋体" w:hint="eastAsia"/>
          <w:b/>
          <w:sz w:val="24"/>
        </w:rPr>
        <w:t>投标产品须符合国家有关部门的强制性规定或要求。</w:t>
      </w:r>
    </w:p>
    <w:p w:rsidR="00DC0FFF" w:rsidRDefault="00DC0FFF" w:rsidP="00DC0FFF">
      <w:pPr>
        <w:keepNext/>
        <w:keepLines/>
        <w:tabs>
          <w:tab w:val="left" w:pos="720"/>
        </w:tabs>
        <w:autoSpaceDE w:val="0"/>
        <w:autoSpaceDN w:val="0"/>
        <w:adjustRightInd w:val="0"/>
        <w:spacing w:before="360" w:after="120" w:line="360" w:lineRule="auto"/>
        <w:ind w:firstLineChars="200" w:firstLine="482"/>
        <w:outlineLvl w:val="2"/>
        <w:rPr>
          <w:rFonts w:ascii="宋体" w:hAnsi="宋体" w:cs="宋体" w:hint="eastAsia"/>
          <w:b/>
          <w:color w:val="000000"/>
          <w:sz w:val="24"/>
        </w:rPr>
      </w:pPr>
      <w:bookmarkStart w:id="8" w:name="_Toc24559"/>
      <w:r>
        <w:rPr>
          <w:rFonts w:ascii="宋体" w:hAnsi="宋体" w:cs="宋体" w:hint="eastAsia"/>
          <w:b/>
          <w:color w:val="000000"/>
          <w:sz w:val="24"/>
        </w:rPr>
        <w:t xml:space="preserve">01包  </w:t>
      </w:r>
      <w:bookmarkStart w:id="9" w:name="_Toc30124"/>
      <w:r>
        <w:rPr>
          <w:rFonts w:ascii="宋体" w:hAnsi="宋体" w:cs="宋体" w:hint="eastAsia"/>
          <w:b/>
          <w:color w:val="000000"/>
          <w:sz w:val="24"/>
        </w:rPr>
        <w:t>吊塔维护保养服务</w:t>
      </w:r>
      <w:bookmarkEnd w:id="8"/>
    </w:p>
    <w:bookmarkEnd w:id="9"/>
    <w:p w:rsidR="00DC0FFF" w:rsidRDefault="00DC0FFF" w:rsidP="00DC0FFF">
      <w:pPr>
        <w:pStyle w:val="a4"/>
        <w:spacing w:line="400" w:lineRule="exact"/>
        <w:ind w:firstLineChars="0" w:firstLine="0"/>
        <w:rPr>
          <w:rFonts w:ascii="宋体" w:hAnsi="宋体"/>
          <w:b/>
          <w:bCs/>
          <w:sz w:val="22"/>
          <w:szCs w:val="22"/>
        </w:rPr>
      </w:pPr>
      <w:r>
        <w:rPr>
          <w:rFonts w:ascii="宋体" w:hAnsi="宋体" w:hint="eastAsia"/>
          <w:b/>
          <w:bCs/>
          <w:sz w:val="22"/>
          <w:szCs w:val="22"/>
        </w:rPr>
        <w:t>一、服务要求</w:t>
      </w:r>
      <w:r>
        <w:rPr>
          <w:rFonts w:ascii="宋体" w:hAnsi="宋体"/>
          <w:b/>
          <w:bCs/>
          <w:sz w:val="22"/>
          <w:szCs w:val="22"/>
        </w:rPr>
        <w:t>：</w:t>
      </w:r>
    </w:p>
    <w:p w:rsidR="00DC0FFF" w:rsidRDefault="00DC0FFF" w:rsidP="00DC0FFF">
      <w:pPr>
        <w:widowControl/>
        <w:spacing w:line="360" w:lineRule="auto"/>
        <w:ind w:firstLineChars="200" w:firstLine="420"/>
        <w:jc w:val="left"/>
        <w:rPr>
          <w:rFonts w:ascii="宋体" w:hAnsi="宋体" w:hint="eastAsia"/>
        </w:rPr>
      </w:pPr>
      <w:r>
        <w:rPr>
          <w:rFonts w:ascii="宋体" w:hAnsi="宋体" w:hint="eastAsia"/>
        </w:rPr>
        <w:t>1.提供7天 X 24小时维修服务电话；</w:t>
      </w:r>
    </w:p>
    <w:p w:rsidR="00DC0FFF" w:rsidRDefault="00DC0FFF" w:rsidP="00DC0FFF">
      <w:pPr>
        <w:widowControl/>
        <w:spacing w:line="360" w:lineRule="auto"/>
        <w:ind w:firstLineChars="200" w:firstLine="420"/>
        <w:jc w:val="left"/>
        <w:rPr>
          <w:rFonts w:ascii="宋体" w:hAnsi="宋体" w:hint="eastAsia"/>
        </w:rPr>
      </w:pPr>
      <w:r>
        <w:rPr>
          <w:rFonts w:ascii="宋体" w:hAnsi="宋体" w:hint="eastAsia"/>
        </w:rPr>
        <w:t>2.用户报修初次电话响应时间: 不超过2小时；</w:t>
      </w:r>
    </w:p>
    <w:p w:rsidR="00DC0FFF" w:rsidRDefault="00DC0FFF" w:rsidP="00DC0FFF">
      <w:pPr>
        <w:widowControl/>
        <w:spacing w:line="360" w:lineRule="auto"/>
        <w:ind w:firstLineChars="200" w:firstLine="420"/>
        <w:jc w:val="left"/>
        <w:rPr>
          <w:rFonts w:ascii="宋体" w:hAnsi="宋体" w:hint="eastAsia"/>
        </w:rPr>
      </w:pPr>
      <w:r>
        <w:rPr>
          <w:rFonts w:ascii="宋体" w:hAnsi="宋体" w:hint="eastAsia"/>
        </w:rPr>
        <w:t>3.现场服务到达响应时间:不超过</w:t>
      </w:r>
      <w:r>
        <w:rPr>
          <w:rFonts w:ascii="宋体" w:hAnsi="宋体"/>
        </w:rPr>
        <w:t>1</w:t>
      </w:r>
      <w:r>
        <w:rPr>
          <w:rFonts w:ascii="宋体" w:hAnsi="宋体" w:hint="eastAsia"/>
        </w:rPr>
        <w:t>个工作日；</w:t>
      </w:r>
    </w:p>
    <w:p w:rsidR="00DC0FFF" w:rsidRDefault="00DC0FFF" w:rsidP="00DC0FFF">
      <w:pPr>
        <w:widowControl/>
        <w:spacing w:line="360" w:lineRule="auto"/>
        <w:ind w:firstLineChars="200" w:firstLine="420"/>
        <w:jc w:val="left"/>
        <w:rPr>
          <w:rFonts w:ascii="宋体" w:hAnsi="宋体" w:hint="eastAsia"/>
        </w:rPr>
      </w:pPr>
      <w:r>
        <w:rPr>
          <w:rFonts w:ascii="宋体" w:hAnsi="宋体" w:hint="eastAsia"/>
        </w:rPr>
        <w:t>4.维修</w:t>
      </w:r>
      <w:r>
        <w:rPr>
          <w:rFonts w:ascii="宋体" w:hAnsi="宋体"/>
        </w:rPr>
        <w:t>保养服务完成后，提供</w:t>
      </w:r>
      <w:r>
        <w:rPr>
          <w:rFonts w:ascii="宋体" w:hAnsi="宋体" w:hint="eastAsia"/>
        </w:rPr>
        <w:t>符合安全标准的完整服务报告;</w:t>
      </w:r>
    </w:p>
    <w:p w:rsidR="00DC0FFF" w:rsidRDefault="00DC0FFF" w:rsidP="00DC0FFF">
      <w:pPr>
        <w:widowControl/>
        <w:spacing w:line="360" w:lineRule="auto"/>
        <w:ind w:firstLineChars="200" w:firstLine="420"/>
        <w:jc w:val="left"/>
        <w:rPr>
          <w:rFonts w:ascii="宋体" w:hAnsi="宋体" w:hint="eastAsia"/>
        </w:rPr>
      </w:pPr>
      <w:r>
        <w:rPr>
          <w:rFonts w:ascii="宋体" w:hAnsi="宋体" w:hint="eastAsia"/>
        </w:rPr>
        <w:t>5.维修</w:t>
      </w:r>
      <w:r>
        <w:rPr>
          <w:rFonts w:ascii="宋体" w:hAnsi="宋体"/>
        </w:rPr>
        <w:t>保养中</w:t>
      </w:r>
      <w:r>
        <w:rPr>
          <w:rFonts w:ascii="宋体" w:hAnsi="宋体" w:hint="eastAsia"/>
        </w:rPr>
        <w:t>更换的</w:t>
      </w:r>
      <w:r>
        <w:rPr>
          <w:rFonts w:ascii="宋体" w:hAnsi="宋体"/>
        </w:rPr>
        <w:t>配件及涉及到的相关消耗材料，均包含于维保服务中</w:t>
      </w:r>
      <w:r>
        <w:rPr>
          <w:rFonts w:ascii="宋体" w:hAnsi="宋体" w:hint="eastAsia"/>
        </w:rPr>
        <w:t>；</w:t>
      </w:r>
    </w:p>
    <w:p w:rsidR="00DC0FFF" w:rsidRDefault="00DC0FFF" w:rsidP="00DC0FFF">
      <w:pPr>
        <w:widowControl/>
        <w:spacing w:line="360" w:lineRule="auto"/>
        <w:ind w:firstLineChars="200" w:firstLine="420"/>
        <w:jc w:val="left"/>
        <w:rPr>
          <w:rFonts w:ascii="宋体" w:hAnsi="宋体"/>
        </w:rPr>
      </w:pPr>
      <w:r>
        <w:rPr>
          <w:rFonts w:ascii="宋体" w:hAnsi="宋体" w:hint="eastAsia"/>
        </w:rPr>
        <w:t>6.维修保养</w:t>
      </w:r>
      <w:r>
        <w:rPr>
          <w:rFonts w:ascii="宋体" w:hAnsi="宋体"/>
        </w:rPr>
        <w:t>服务需根据医院要求的时间进行，能够</w:t>
      </w:r>
      <w:r>
        <w:rPr>
          <w:rFonts w:ascii="宋体" w:hAnsi="宋体" w:hint="eastAsia"/>
        </w:rPr>
        <w:t>配合</w:t>
      </w:r>
      <w:r>
        <w:rPr>
          <w:rFonts w:ascii="宋体" w:hAnsi="宋体"/>
        </w:rPr>
        <w:t>医院工作。</w:t>
      </w:r>
    </w:p>
    <w:p w:rsidR="00DC0FFF" w:rsidRDefault="00DC0FFF" w:rsidP="00DC0FFF">
      <w:pPr>
        <w:tabs>
          <w:tab w:val="left" w:pos="840"/>
        </w:tabs>
        <w:spacing w:line="400" w:lineRule="exact"/>
        <w:jc w:val="left"/>
        <w:rPr>
          <w:rFonts w:ascii="宋体" w:hAnsi="宋体"/>
          <w:b/>
          <w:bCs/>
          <w:color w:val="000000"/>
          <w:sz w:val="22"/>
          <w:szCs w:val="22"/>
        </w:rPr>
      </w:pPr>
      <w:r>
        <w:rPr>
          <w:rFonts w:ascii="宋体" w:hAnsi="宋体" w:hint="eastAsia"/>
          <w:b/>
          <w:bCs/>
          <w:color w:val="000000"/>
          <w:sz w:val="22"/>
          <w:szCs w:val="22"/>
        </w:rPr>
        <w:t>二、技术</w:t>
      </w:r>
      <w:r>
        <w:rPr>
          <w:rFonts w:ascii="宋体" w:hAnsi="宋体"/>
          <w:b/>
          <w:bCs/>
          <w:color w:val="000000"/>
          <w:sz w:val="22"/>
          <w:szCs w:val="22"/>
        </w:rPr>
        <w:t>要求</w:t>
      </w:r>
    </w:p>
    <w:p w:rsidR="00DC0FFF" w:rsidRDefault="00DC0FFF" w:rsidP="00DC0FFF">
      <w:pPr>
        <w:widowControl/>
        <w:spacing w:line="360" w:lineRule="auto"/>
        <w:ind w:firstLineChars="200" w:firstLine="420"/>
        <w:jc w:val="left"/>
        <w:rPr>
          <w:rFonts w:ascii="宋体" w:hAnsi="宋体"/>
        </w:rPr>
      </w:pPr>
      <w:r>
        <w:rPr>
          <w:rFonts w:ascii="宋体" w:hAnsi="宋体"/>
        </w:rPr>
        <w:t>1.</w:t>
      </w:r>
      <w:r>
        <w:rPr>
          <w:rFonts w:hint="eastAsia"/>
        </w:rPr>
        <w:t xml:space="preserve"> </w:t>
      </w:r>
      <w:r>
        <w:rPr>
          <w:rFonts w:hint="eastAsia"/>
        </w:rPr>
        <w:t>要求</w:t>
      </w:r>
      <w:r>
        <w:rPr>
          <w:rFonts w:ascii="宋体" w:hAnsi="宋体" w:hint="eastAsia"/>
        </w:rPr>
        <w:t>投标供应商提供单位基本情况说明，医疗行业服务概况和同类设备维保业绩。</w:t>
      </w:r>
    </w:p>
    <w:p w:rsidR="00DC0FFF" w:rsidRDefault="00DC0FFF" w:rsidP="00DC0FFF">
      <w:pPr>
        <w:widowControl/>
        <w:spacing w:line="360" w:lineRule="auto"/>
        <w:ind w:firstLineChars="200" w:firstLine="420"/>
        <w:jc w:val="left"/>
        <w:rPr>
          <w:rFonts w:ascii="宋体" w:hAnsi="宋体"/>
        </w:rPr>
      </w:pPr>
      <w:r>
        <w:rPr>
          <w:rFonts w:ascii="宋体" w:hAnsi="宋体"/>
        </w:rPr>
        <w:t>2.</w:t>
      </w:r>
      <w:r>
        <w:rPr>
          <w:rFonts w:hint="eastAsia"/>
        </w:rPr>
        <w:t xml:space="preserve"> </w:t>
      </w:r>
      <w:r>
        <w:rPr>
          <w:rFonts w:hint="eastAsia"/>
        </w:rPr>
        <w:t>提供</w:t>
      </w:r>
      <w:r>
        <w:rPr>
          <w:rFonts w:ascii="宋体" w:hAnsi="宋体" w:hint="eastAsia"/>
        </w:rPr>
        <w:t>维修保养工程师人员清单、履历、从业年限、专业资质证书。</w:t>
      </w:r>
    </w:p>
    <w:p w:rsidR="00DC0FFF" w:rsidRDefault="00DC0FFF" w:rsidP="00DC0FFF">
      <w:pPr>
        <w:widowControl/>
        <w:spacing w:line="360" w:lineRule="auto"/>
        <w:ind w:firstLineChars="200" w:firstLine="420"/>
        <w:jc w:val="left"/>
        <w:rPr>
          <w:rFonts w:ascii="宋体" w:hAnsi="宋体"/>
        </w:rPr>
      </w:pPr>
      <w:r>
        <w:rPr>
          <w:rFonts w:ascii="宋体" w:hAnsi="宋体"/>
        </w:rPr>
        <w:t>3</w:t>
      </w:r>
      <w:r>
        <w:rPr>
          <w:rFonts w:ascii="宋体" w:hAnsi="宋体" w:hint="eastAsia"/>
        </w:rPr>
        <w:t>.</w:t>
      </w:r>
      <w:r>
        <w:rPr>
          <w:rFonts w:hint="eastAsia"/>
        </w:rPr>
        <w:t xml:space="preserve"> #</w:t>
      </w:r>
      <w:r>
        <w:rPr>
          <w:rFonts w:ascii="宋体" w:hAnsi="宋体" w:hint="eastAsia"/>
        </w:rPr>
        <w:t>投标人的维修工程师应取得国家人社部门出具的工程师及以上职称证书。</w:t>
      </w:r>
    </w:p>
    <w:p w:rsidR="00DC0FFF" w:rsidRDefault="00DC0FFF" w:rsidP="00DC0FFF">
      <w:pPr>
        <w:widowControl/>
        <w:spacing w:line="360" w:lineRule="auto"/>
        <w:ind w:firstLineChars="200" w:firstLine="420"/>
        <w:jc w:val="left"/>
        <w:rPr>
          <w:rFonts w:ascii="宋体" w:hAnsi="宋体"/>
        </w:rPr>
      </w:pPr>
      <w:r>
        <w:rPr>
          <w:rFonts w:ascii="宋体" w:hAnsi="宋体"/>
        </w:rPr>
        <w:t>4</w:t>
      </w:r>
      <w:r>
        <w:rPr>
          <w:rFonts w:ascii="宋体" w:hAnsi="宋体" w:hint="eastAsia"/>
        </w:rPr>
        <w:t>.</w:t>
      </w:r>
      <w:r>
        <w:rPr>
          <w:rFonts w:hint="eastAsia"/>
        </w:rPr>
        <w:t xml:space="preserve"> #</w:t>
      </w:r>
      <w:r>
        <w:rPr>
          <w:rFonts w:ascii="宋体" w:hAnsi="宋体" w:hint="eastAsia"/>
        </w:rPr>
        <w:t>投标供应商在国内设有专门的零备件仓库并提供相关证明。</w:t>
      </w:r>
    </w:p>
    <w:p w:rsidR="00DC0FFF" w:rsidRDefault="00DC0FFF" w:rsidP="00DC0FFF">
      <w:pPr>
        <w:widowControl/>
        <w:spacing w:line="360" w:lineRule="auto"/>
        <w:ind w:firstLineChars="200" w:firstLine="420"/>
        <w:jc w:val="left"/>
        <w:rPr>
          <w:rFonts w:ascii="宋体" w:hAnsi="宋体" w:hint="eastAsia"/>
        </w:rPr>
      </w:pPr>
      <w:r>
        <w:rPr>
          <w:rFonts w:ascii="宋体" w:hAnsi="宋体"/>
        </w:rPr>
        <w:t>5</w:t>
      </w:r>
      <w:r>
        <w:rPr>
          <w:rFonts w:ascii="宋体" w:hAnsi="宋体" w:hint="eastAsia"/>
        </w:rPr>
        <w:t>.</w:t>
      </w:r>
      <w:r>
        <w:rPr>
          <w:rFonts w:hint="eastAsia"/>
        </w:rPr>
        <w:t>★</w:t>
      </w:r>
      <w:r>
        <w:rPr>
          <w:rFonts w:ascii="宋体" w:hAnsi="宋体" w:hint="eastAsia"/>
        </w:rPr>
        <w:t>投标供应商应确保提供的备件为原厂原件，且备件供应100%保障，</w:t>
      </w:r>
      <w:r>
        <w:rPr>
          <w:rFonts w:ascii="宋体" w:hAnsi="宋体" w:hint="eastAsia"/>
          <w:sz w:val="22"/>
          <w:szCs w:val="22"/>
        </w:rPr>
        <w:t>具有可追溯性（提供承诺函）</w:t>
      </w:r>
      <w:r>
        <w:rPr>
          <w:rFonts w:ascii="宋体" w:hAnsi="宋体" w:hint="eastAsia"/>
        </w:rPr>
        <w:t>。</w:t>
      </w:r>
    </w:p>
    <w:p w:rsidR="00DC0FFF" w:rsidRDefault="00DC0FFF" w:rsidP="00DC0FFF">
      <w:pPr>
        <w:tabs>
          <w:tab w:val="left" w:pos="840"/>
        </w:tabs>
        <w:spacing w:line="360" w:lineRule="auto"/>
        <w:ind w:firstLineChars="200" w:firstLine="420"/>
        <w:jc w:val="left"/>
        <w:rPr>
          <w:rFonts w:ascii="宋体" w:hAnsi="宋体"/>
          <w:color w:val="000000"/>
          <w:sz w:val="22"/>
          <w:szCs w:val="22"/>
        </w:rPr>
      </w:pPr>
      <w:r>
        <w:rPr>
          <w:rFonts w:hint="eastAsia"/>
        </w:rPr>
        <w:t>6</w:t>
      </w:r>
      <w:r>
        <w:rPr>
          <w:rFonts w:ascii="宋体" w:hAnsi="宋体"/>
          <w:sz w:val="22"/>
          <w:szCs w:val="22"/>
        </w:rPr>
        <w:t xml:space="preserve">. </w:t>
      </w:r>
      <w:r>
        <w:rPr>
          <w:rFonts w:ascii="宋体" w:hAnsi="宋体" w:hint="eastAsia"/>
          <w:sz w:val="22"/>
          <w:szCs w:val="22"/>
        </w:rPr>
        <w:t>提供吊塔大保养，指</w:t>
      </w:r>
      <w:r>
        <w:rPr>
          <w:rFonts w:ascii="宋体" w:hAnsi="宋体"/>
          <w:sz w:val="22"/>
          <w:szCs w:val="22"/>
        </w:rPr>
        <w:t>对</w:t>
      </w:r>
      <w:r>
        <w:rPr>
          <w:rFonts w:ascii="宋体" w:hAnsi="宋体" w:hint="eastAsia"/>
          <w:sz w:val="22"/>
          <w:szCs w:val="22"/>
        </w:rPr>
        <w:t>吊塔易损件更新保养，功能状态检测及内部调整，</w:t>
      </w:r>
      <w:r>
        <w:rPr>
          <w:rFonts w:ascii="宋体" w:hAnsi="宋体"/>
          <w:sz w:val="22"/>
          <w:szCs w:val="22"/>
        </w:rPr>
        <w:t>包括</w:t>
      </w:r>
      <w:r>
        <w:rPr>
          <w:rFonts w:ascii="宋体" w:hAnsi="宋体" w:hint="eastAsia"/>
          <w:color w:val="000000"/>
          <w:sz w:val="22"/>
          <w:szCs w:val="22"/>
        </w:rPr>
        <w:t>但</w:t>
      </w:r>
      <w:r>
        <w:rPr>
          <w:rFonts w:ascii="宋体" w:hAnsi="宋体"/>
          <w:color w:val="000000"/>
          <w:sz w:val="22"/>
          <w:szCs w:val="22"/>
        </w:rPr>
        <w:t>不限于</w:t>
      </w:r>
      <w:r>
        <w:rPr>
          <w:rFonts w:ascii="宋体" w:hAnsi="宋体" w:hint="eastAsia"/>
          <w:color w:val="000000"/>
          <w:sz w:val="22"/>
          <w:szCs w:val="22"/>
        </w:rPr>
        <w:t>更换所有电气电缆，吊塔内部气体管线。</w:t>
      </w:r>
    </w:p>
    <w:p w:rsidR="00DC0FFF" w:rsidRDefault="00DC0FFF" w:rsidP="00DC0FFF">
      <w:pPr>
        <w:tabs>
          <w:tab w:val="left" w:pos="840"/>
        </w:tabs>
        <w:spacing w:line="360" w:lineRule="auto"/>
        <w:ind w:firstLineChars="200" w:firstLine="440"/>
        <w:jc w:val="left"/>
        <w:rPr>
          <w:rFonts w:ascii="宋体" w:hAnsi="宋体"/>
          <w:color w:val="000000"/>
          <w:sz w:val="22"/>
          <w:szCs w:val="22"/>
        </w:rPr>
      </w:pPr>
      <w:r>
        <w:rPr>
          <w:rFonts w:ascii="宋体" w:hAnsi="宋体" w:hint="eastAsia"/>
          <w:color w:val="000000"/>
          <w:sz w:val="22"/>
          <w:szCs w:val="22"/>
        </w:rPr>
        <w:t>7</w:t>
      </w:r>
      <w:r>
        <w:rPr>
          <w:rFonts w:ascii="宋体" w:hAnsi="宋体"/>
          <w:color w:val="000000"/>
          <w:sz w:val="22"/>
          <w:szCs w:val="22"/>
        </w:rPr>
        <w:t xml:space="preserve">. </w:t>
      </w:r>
      <w:r>
        <w:rPr>
          <w:rFonts w:ascii="宋体" w:hAnsi="宋体" w:hint="eastAsia"/>
          <w:color w:val="000000"/>
          <w:sz w:val="22"/>
          <w:szCs w:val="22"/>
        </w:rPr>
        <w:t>对</w:t>
      </w:r>
      <w:r>
        <w:rPr>
          <w:rFonts w:ascii="宋体" w:hAnsi="宋体"/>
          <w:color w:val="000000"/>
          <w:sz w:val="22"/>
          <w:szCs w:val="22"/>
        </w:rPr>
        <w:t>吊塔气体终端密封元件进行更替</w:t>
      </w:r>
      <w:r>
        <w:rPr>
          <w:rFonts w:ascii="宋体" w:hAnsi="宋体" w:hint="eastAsia"/>
          <w:color w:val="000000"/>
          <w:sz w:val="22"/>
          <w:szCs w:val="22"/>
        </w:rPr>
        <w:t>时</w:t>
      </w:r>
      <w:r>
        <w:rPr>
          <w:rFonts w:ascii="宋体" w:hAnsi="宋体"/>
          <w:color w:val="000000"/>
          <w:sz w:val="22"/>
          <w:szCs w:val="22"/>
        </w:rPr>
        <w:t>，必须使用原厂配件</w:t>
      </w:r>
      <w:r>
        <w:rPr>
          <w:rFonts w:ascii="宋体" w:hAnsi="宋体" w:hint="eastAsia"/>
          <w:color w:val="000000"/>
          <w:sz w:val="22"/>
          <w:szCs w:val="22"/>
        </w:rPr>
        <w:t>匹配</w:t>
      </w:r>
      <w:r>
        <w:rPr>
          <w:rFonts w:ascii="宋体" w:hAnsi="宋体"/>
          <w:color w:val="000000"/>
          <w:sz w:val="22"/>
          <w:szCs w:val="22"/>
        </w:rPr>
        <w:t>，以避免漏气发生。</w:t>
      </w:r>
    </w:p>
    <w:p w:rsidR="00DC0FFF" w:rsidRDefault="00DC0FFF" w:rsidP="00DC0FFF">
      <w:pPr>
        <w:tabs>
          <w:tab w:val="left" w:pos="840"/>
        </w:tabs>
        <w:spacing w:line="360" w:lineRule="auto"/>
        <w:ind w:firstLineChars="200" w:firstLine="440"/>
        <w:jc w:val="left"/>
        <w:rPr>
          <w:rFonts w:ascii="宋体" w:hAnsi="宋体"/>
          <w:color w:val="000000"/>
          <w:sz w:val="22"/>
          <w:szCs w:val="22"/>
        </w:rPr>
      </w:pPr>
      <w:r>
        <w:rPr>
          <w:rFonts w:ascii="宋体" w:hAnsi="宋体" w:hint="eastAsia"/>
          <w:color w:val="000000"/>
          <w:sz w:val="22"/>
          <w:szCs w:val="22"/>
        </w:rPr>
        <w:t>8</w:t>
      </w:r>
      <w:r>
        <w:rPr>
          <w:rFonts w:ascii="宋体" w:hAnsi="宋体"/>
          <w:color w:val="000000"/>
          <w:sz w:val="22"/>
          <w:szCs w:val="22"/>
        </w:rPr>
        <w:t xml:space="preserve">. </w:t>
      </w:r>
      <w:r>
        <w:rPr>
          <w:rFonts w:ascii="宋体" w:hAnsi="宋体" w:hint="eastAsia"/>
          <w:color w:val="000000"/>
          <w:sz w:val="22"/>
          <w:szCs w:val="22"/>
        </w:rPr>
        <w:t>供应商必须按照</w:t>
      </w:r>
      <w:r>
        <w:rPr>
          <w:rFonts w:ascii="宋体" w:hAnsi="宋体"/>
          <w:color w:val="000000"/>
          <w:sz w:val="22"/>
          <w:szCs w:val="22"/>
        </w:rPr>
        <w:t>说明书</w:t>
      </w:r>
      <w:r>
        <w:rPr>
          <w:rFonts w:ascii="宋体" w:hAnsi="宋体" w:hint="eastAsia"/>
          <w:color w:val="000000"/>
          <w:sz w:val="22"/>
          <w:szCs w:val="22"/>
        </w:rPr>
        <w:t>上扭矩</w:t>
      </w:r>
      <w:r>
        <w:rPr>
          <w:rFonts w:ascii="宋体" w:hAnsi="宋体"/>
          <w:color w:val="000000"/>
          <w:sz w:val="22"/>
          <w:szCs w:val="22"/>
        </w:rPr>
        <w:t>要求</w:t>
      </w:r>
      <w:r>
        <w:rPr>
          <w:rFonts w:ascii="宋体" w:hAnsi="宋体" w:hint="eastAsia"/>
          <w:color w:val="000000"/>
          <w:sz w:val="22"/>
          <w:szCs w:val="22"/>
        </w:rPr>
        <w:t>对吊塔各机械部分进行紧固及调整，</w:t>
      </w:r>
      <w:r>
        <w:rPr>
          <w:rFonts w:ascii="宋体" w:hAnsi="宋体"/>
          <w:color w:val="000000"/>
          <w:sz w:val="22"/>
          <w:szCs w:val="22"/>
        </w:rPr>
        <w:t>保证</w:t>
      </w:r>
      <w:r>
        <w:rPr>
          <w:rFonts w:ascii="宋体" w:hAnsi="宋体" w:hint="eastAsia"/>
          <w:color w:val="000000"/>
          <w:sz w:val="22"/>
          <w:szCs w:val="22"/>
        </w:rPr>
        <w:t>各</w:t>
      </w:r>
      <w:r>
        <w:rPr>
          <w:rFonts w:ascii="宋体" w:hAnsi="宋体"/>
          <w:color w:val="000000"/>
          <w:sz w:val="22"/>
          <w:szCs w:val="22"/>
        </w:rPr>
        <w:t>部件处于最合适</w:t>
      </w:r>
      <w:r>
        <w:rPr>
          <w:rFonts w:ascii="宋体" w:hAnsi="宋体" w:hint="eastAsia"/>
          <w:color w:val="000000"/>
          <w:sz w:val="22"/>
          <w:szCs w:val="22"/>
        </w:rPr>
        <w:t>的</w:t>
      </w:r>
      <w:r>
        <w:rPr>
          <w:rFonts w:ascii="宋体" w:hAnsi="宋体"/>
          <w:color w:val="000000"/>
          <w:sz w:val="22"/>
          <w:szCs w:val="22"/>
        </w:rPr>
        <w:t>工作状态</w:t>
      </w:r>
      <w:r>
        <w:rPr>
          <w:rFonts w:ascii="宋体" w:hAnsi="宋体" w:hint="eastAsia"/>
          <w:color w:val="000000"/>
          <w:sz w:val="22"/>
          <w:szCs w:val="22"/>
        </w:rPr>
        <w:t>。</w:t>
      </w:r>
    </w:p>
    <w:p w:rsidR="00DC0FFF" w:rsidRDefault="00DC0FFF" w:rsidP="00DC0FFF">
      <w:pPr>
        <w:tabs>
          <w:tab w:val="left" w:pos="840"/>
        </w:tabs>
        <w:spacing w:line="360" w:lineRule="auto"/>
        <w:ind w:firstLineChars="200" w:firstLine="440"/>
        <w:jc w:val="left"/>
        <w:rPr>
          <w:rFonts w:ascii="宋体" w:hAnsi="宋体"/>
          <w:color w:val="000000"/>
          <w:sz w:val="22"/>
          <w:szCs w:val="22"/>
        </w:rPr>
      </w:pPr>
      <w:r>
        <w:rPr>
          <w:rFonts w:ascii="宋体" w:hAnsi="宋体" w:hint="eastAsia"/>
          <w:color w:val="000000"/>
          <w:sz w:val="22"/>
          <w:szCs w:val="22"/>
        </w:rPr>
        <w:t>9</w:t>
      </w:r>
      <w:r>
        <w:rPr>
          <w:rFonts w:ascii="宋体" w:hAnsi="宋体"/>
          <w:color w:val="000000"/>
          <w:sz w:val="22"/>
          <w:szCs w:val="22"/>
        </w:rPr>
        <w:t xml:space="preserve">. </w:t>
      </w:r>
      <w:r>
        <w:rPr>
          <w:rFonts w:ascii="宋体" w:hAnsi="宋体" w:hint="eastAsia"/>
          <w:color w:val="000000"/>
          <w:sz w:val="22"/>
          <w:szCs w:val="22"/>
        </w:rPr>
        <w:t>根据</w:t>
      </w:r>
      <w:r>
        <w:rPr>
          <w:rFonts w:ascii="宋体" w:hAnsi="宋体"/>
          <w:color w:val="000000"/>
          <w:sz w:val="22"/>
          <w:szCs w:val="22"/>
        </w:rPr>
        <w:t>吊塔具体型号，</w:t>
      </w:r>
      <w:r>
        <w:rPr>
          <w:rFonts w:ascii="宋体" w:hAnsi="宋体" w:hint="eastAsia"/>
          <w:color w:val="000000"/>
          <w:sz w:val="22"/>
          <w:szCs w:val="22"/>
        </w:rPr>
        <w:t>应</w:t>
      </w:r>
      <w:r>
        <w:rPr>
          <w:rFonts w:ascii="宋体" w:hAnsi="宋体"/>
          <w:color w:val="000000"/>
          <w:sz w:val="22"/>
          <w:szCs w:val="22"/>
        </w:rPr>
        <w:t>选用</w:t>
      </w:r>
      <w:r>
        <w:rPr>
          <w:rFonts w:ascii="宋体" w:hAnsi="宋体" w:hint="eastAsia"/>
          <w:color w:val="000000"/>
          <w:sz w:val="22"/>
          <w:szCs w:val="22"/>
        </w:rPr>
        <w:t>专用润滑油，在其对应</w:t>
      </w:r>
      <w:r>
        <w:rPr>
          <w:rFonts w:ascii="宋体" w:hAnsi="宋体"/>
          <w:color w:val="000000"/>
          <w:sz w:val="22"/>
          <w:szCs w:val="22"/>
        </w:rPr>
        <w:t>部位进行润滑</w:t>
      </w:r>
      <w:r>
        <w:rPr>
          <w:rFonts w:ascii="宋体" w:hAnsi="宋体" w:hint="eastAsia"/>
          <w:color w:val="000000"/>
          <w:sz w:val="22"/>
          <w:szCs w:val="22"/>
        </w:rPr>
        <w:t>保养</w:t>
      </w:r>
      <w:r>
        <w:rPr>
          <w:rFonts w:ascii="宋体" w:hAnsi="宋体"/>
          <w:color w:val="000000"/>
          <w:sz w:val="22"/>
          <w:szCs w:val="22"/>
        </w:rPr>
        <w:t>。</w:t>
      </w:r>
    </w:p>
    <w:p w:rsidR="00DC0FFF" w:rsidRDefault="00DC0FFF" w:rsidP="00DC0FFF">
      <w:pPr>
        <w:spacing w:line="360" w:lineRule="auto"/>
        <w:ind w:firstLineChars="200" w:firstLine="420"/>
      </w:pPr>
      <w:r>
        <w:rPr>
          <w:rFonts w:hint="eastAsia"/>
        </w:rPr>
        <w:lastRenderedPageBreak/>
        <w:t>10. #</w:t>
      </w:r>
      <w:r>
        <w:rPr>
          <w:rFonts w:hint="eastAsia"/>
        </w:rPr>
        <w:t>吊塔内部气体软管须采用</w:t>
      </w:r>
      <w:r>
        <w:t>EPDM</w:t>
      </w:r>
      <w:r>
        <w:t>橡胶材质，符合医用供气</w:t>
      </w:r>
      <w:r>
        <w:t>ISO5359</w:t>
      </w:r>
      <w:r>
        <w:t>安全标准（此标准要求防腐蚀，抗高压，抗菌，防静电）</w:t>
      </w:r>
      <w:r>
        <w:t>.</w:t>
      </w:r>
      <w:r>
        <w:t>不得采用</w:t>
      </w:r>
      <w:r>
        <w:t>PVC</w:t>
      </w:r>
      <w:r>
        <w:t>材质。（提供</w:t>
      </w:r>
      <w:r>
        <w:rPr>
          <w:rFonts w:hint="eastAsia"/>
        </w:rPr>
        <w:t>符合</w:t>
      </w:r>
      <w:r>
        <w:rPr>
          <w:rFonts w:hint="eastAsia"/>
        </w:rPr>
        <w:t>I</w:t>
      </w:r>
      <w:r>
        <w:t>SO5359</w:t>
      </w:r>
      <w:r>
        <w:rPr>
          <w:rFonts w:hint="eastAsia"/>
        </w:rPr>
        <w:t>的检测依据有效证明材料</w:t>
      </w:r>
      <w:r>
        <w:t>）。</w:t>
      </w:r>
    </w:p>
    <w:p w:rsidR="00DC0FFF" w:rsidRDefault="00DC0FFF" w:rsidP="00DC0FFF">
      <w:pPr>
        <w:spacing w:line="360" w:lineRule="auto"/>
        <w:ind w:firstLineChars="200" w:firstLine="420"/>
        <w:rPr>
          <w:b/>
        </w:rPr>
      </w:pPr>
      <w:r>
        <w:rPr>
          <w:rFonts w:hint="eastAsia"/>
        </w:rPr>
        <w:t>11</w:t>
      </w:r>
      <w:r>
        <w:t>.</w:t>
      </w:r>
      <w:r>
        <w:rPr>
          <w:rFonts w:hint="eastAsia"/>
        </w:rPr>
        <w:t>#</w:t>
      </w:r>
      <w:r>
        <w:rPr>
          <w:rFonts w:hint="eastAsia"/>
        </w:rPr>
        <w:t>为确保兼容性，所有气体终端要求与吊塔为同一品牌</w:t>
      </w:r>
      <w:r>
        <w:t>。气体终端带有正向止回阀设计。各类气体插座需符合</w:t>
      </w:r>
      <w:r>
        <w:t>ISO</w:t>
      </w:r>
      <w:r>
        <w:t>标识标准，均为不同颜色和不同形状。保障接口</w:t>
      </w:r>
      <w:r>
        <w:t>2</w:t>
      </w:r>
      <w:r>
        <w:t>万次以上插拔，为了确保气体拔插的可靠性</w:t>
      </w:r>
      <w:r>
        <w:rPr>
          <w:rFonts w:hint="eastAsia"/>
        </w:rPr>
        <w:t>。</w:t>
      </w:r>
      <w:r>
        <w:rPr>
          <w:rFonts w:hint="eastAsia"/>
          <w:b/>
        </w:rPr>
        <w:t>（提供与吊塔同品牌的气体终端的插拔证明材料）</w:t>
      </w:r>
    </w:p>
    <w:p w:rsidR="00DC0FFF" w:rsidRDefault="00DC0FFF" w:rsidP="00DC0FFF">
      <w:pPr>
        <w:spacing w:line="360" w:lineRule="auto"/>
        <w:ind w:firstLineChars="200" w:firstLine="420"/>
      </w:pPr>
      <w:r>
        <w:rPr>
          <w:rFonts w:hint="eastAsia"/>
        </w:rPr>
        <w:t>12</w:t>
      </w:r>
      <w:r>
        <w:t>.</w:t>
      </w:r>
      <w:r>
        <w:rPr>
          <w:rFonts w:hint="eastAsia"/>
        </w:rPr>
        <w:t>所有气体</w:t>
      </w:r>
      <w:r>
        <w:t>终端采用双层六滚珠设计</w:t>
      </w:r>
      <w:r>
        <w:rPr>
          <w:rFonts w:hint="eastAsia"/>
        </w:rPr>
        <w:t>，</w:t>
      </w:r>
      <w:r>
        <w:t>气体终端具备三密封圈、弹片设计，防止老化漏气</w:t>
      </w:r>
      <w:r>
        <w:rPr>
          <w:rFonts w:hint="eastAsia"/>
        </w:rPr>
        <w:t>，</w:t>
      </w:r>
      <w:r>
        <w:t>所有气体接口必须带三状态：通、断、拔，确保可正面带气拆卸维修</w:t>
      </w:r>
      <w:r>
        <w:rPr>
          <w:rFonts w:hint="eastAsia"/>
        </w:rPr>
        <w:t>。</w:t>
      </w:r>
      <w:r>
        <w:rPr>
          <w:rFonts w:hint="eastAsia"/>
        </w:rPr>
        <w:t xml:space="preserve"> </w:t>
      </w:r>
    </w:p>
    <w:p w:rsidR="00DC0FFF" w:rsidRDefault="00DC0FFF" w:rsidP="00DC0FFF">
      <w:pPr>
        <w:tabs>
          <w:tab w:val="left" w:pos="840"/>
        </w:tabs>
        <w:spacing w:line="360" w:lineRule="auto"/>
        <w:ind w:firstLineChars="200" w:firstLine="440"/>
        <w:jc w:val="left"/>
        <w:rPr>
          <w:rFonts w:ascii="宋体" w:hAnsi="宋体"/>
          <w:color w:val="000000"/>
          <w:sz w:val="22"/>
          <w:szCs w:val="22"/>
        </w:rPr>
      </w:pPr>
      <w:r>
        <w:rPr>
          <w:rFonts w:ascii="宋体" w:hAnsi="宋体" w:hint="eastAsia"/>
          <w:color w:val="000000"/>
          <w:sz w:val="22"/>
          <w:szCs w:val="22"/>
        </w:rPr>
        <w:t>13</w:t>
      </w:r>
      <w:r>
        <w:rPr>
          <w:rFonts w:ascii="宋体" w:hAnsi="宋体"/>
          <w:color w:val="000000"/>
          <w:sz w:val="22"/>
          <w:szCs w:val="22"/>
        </w:rPr>
        <w:t xml:space="preserve">. </w:t>
      </w:r>
      <w:r>
        <w:rPr>
          <w:rFonts w:ascii="宋体" w:hAnsi="宋体" w:hint="eastAsia"/>
          <w:color w:val="000000"/>
          <w:sz w:val="22"/>
          <w:szCs w:val="22"/>
        </w:rPr>
        <w:t>维修保养服务完成后，应</w:t>
      </w:r>
      <w:r>
        <w:rPr>
          <w:rFonts w:ascii="宋体" w:hAnsi="宋体"/>
          <w:color w:val="000000"/>
          <w:sz w:val="22"/>
          <w:szCs w:val="22"/>
        </w:rPr>
        <w:t>按照</w:t>
      </w:r>
      <w:r>
        <w:rPr>
          <w:rFonts w:ascii="宋体" w:hAnsi="宋体" w:hint="eastAsia"/>
          <w:color w:val="000000"/>
          <w:sz w:val="22"/>
          <w:szCs w:val="22"/>
        </w:rPr>
        <w:t>原厂</w:t>
      </w:r>
      <w:r>
        <w:rPr>
          <w:rFonts w:ascii="宋体" w:hAnsi="宋体"/>
          <w:color w:val="000000"/>
          <w:sz w:val="22"/>
          <w:szCs w:val="22"/>
        </w:rPr>
        <w:t>内部</w:t>
      </w:r>
      <w:r>
        <w:rPr>
          <w:rFonts w:ascii="宋体" w:hAnsi="宋体" w:hint="eastAsia"/>
          <w:color w:val="000000"/>
          <w:sz w:val="22"/>
          <w:szCs w:val="22"/>
        </w:rPr>
        <w:t>安装</w:t>
      </w:r>
      <w:r>
        <w:rPr>
          <w:rFonts w:ascii="宋体" w:hAnsi="宋体"/>
          <w:color w:val="000000"/>
          <w:sz w:val="22"/>
          <w:szCs w:val="22"/>
        </w:rPr>
        <w:t>验收标准，进行</w:t>
      </w:r>
      <w:r>
        <w:rPr>
          <w:rFonts w:ascii="宋体" w:hAnsi="宋体" w:hint="eastAsia"/>
          <w:color w:val="000000"/>
          <w:sz w:val="22"/>
          <w:szCs w:val="22"/>
        </w:rPr>
        <w:t>一次</w:t>
      </w:r>
      <w:r>
        <w:rPr>
          <w:rFonts w:ascii="宋体" w:hAnsi="宋体"/>
          <w:color w:val="000000"/>
          <w:sz w:val="22"/>
          <w:szCs w:val="22"/>
        </w:rPr>
        <w:t>全面的安全检查，确保</w:t>
      </w:r>
      <w:r>
        <w:rPr>
          <w:rFonts w:ascii="宋体" w:hAnsi="宋体" w:hint="eastAsia"/>
          <w:color w:val="000000"/>
          <w:sz w:val="22"/>
          <w:szCs w:val="22"/>
        </w:rPr>
        <w:t>吊塔</w:t>
      </w:r>
      <w:r>
        <w:rPr>
          <w:rFonts w:ascii="宋体" w:hAnsi="宋体"/>
          <w:color w:val="000000"/>
          <w:sz w:val="22"/>
          <w:szCs w:val="22"/>
        </w:rPr>
        <w:t>处于安全工作状态，且功能</w:t>
      </w:r>
      <w:r>
        <w:rPr>
          <w:rFonts w:ascii="宋体" w:hAnsi="宋体" w:hint="eastAsia"/>
          <w:color w:val="000000"/>
          <w:sz w:val="22"/>
          <w:szCs w:val="22"/>
        </w:rPr>
        <w:t>正常</w:t>
      </w:r>
      <w:r>
        <w:rPr>
          <w:rFonts w:ascii="宋体" w:hAnsi="宋体"/>
          <w:color w:val="000000"/>
          <w:sz w:val="22"/>
          <w:szCs w:val="22"/>
        </w:rPr>
        <w:t>。</w:t>
      </w:r>
    </w:p>
    <w:p w:rsidR="00DC0FFF" w:rsidRDefault="00DC0FFF" w:rsidP="00DC0FFF">
      <w:pPr>
        <w:tabs>
          <w:tab w:val="left" w:pos="840"/>
        </w:tabs>
        <w:spacing w:line="400" w:lineRule="exact"/>
        <w:jc w:val="left"/>
        <w:rPr>
          <w:rFonts w:ascii="宋体" w:hAnsi="宋体" w:hint="eastAsia"/>
          <w:b/>
          <w:bCs/>
          <w:color w:val="000000"/>
          <w:sz w:val="22"/>
          <w:szCs w:val="22"/>
        </w:rPr>
      </w:pPr>
      <w:r>
        <w:rPr>
          <w:rFonts w:ascii="宋体" w:hAnsi="宋体" w:hint="eastAsia"/>
          <w:b/>
          <w:bCs/>
          <w:color w:val="000000"/>
          <w:sz w:val="22"/>
          <w:szCs w:val="22"/>
        </w:rPr>
        <w:t>三、维保服务设备清单及维保内容</w:t>
      </w:r>
    </w:p>
    <w:p w:rsidR="00DC0FFF" w:rsidRDefault="00DC0FFF" w:rsidP="00DC0FFF">
      <w:pPr>
        <w:pStyle w:val="2"/>
        <w:ind w:leftChars="0" w:left="0" w:firstLineChars="0" w:firstLine="0"/>
      </w:pPr>
      <w:r>
        <w:rPr>
          <w:rFonts w:ascii="宋体" w:hAnsi="宋体" w:hint="eastAsia"/>
          <w:b/>
          <w:bCs/>
          <w:color w:val="000000"/>
          <w:sz w:val="22"/>
          <w:szCs w:val="22"/>
        </w:rPr>
        <w:t>（一）设备清单</w:t>
      </w:r>
    </w:p>
    <w:tbl>
      <w:tblPr>
        <w:tblW w:w="4998" w:type="pct"/>
        <w:tblLook w:val="0000" w:firstRow="0" w:lastRow="0" w:firstColumn="0" w:lastColumn="0" w:noHBand="0" w:noVBand="0"/>
      </w:tblPr>
      <w:tblGrid>
        <w:gridCol w:w="1170"/>
        <w:gridCol w:w="1373"/>
        <w:gridCol w:w="2988"/>
        <w:gridCol w:w="2988"/>
      </w:tblGrid>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left"/>
              <w:textAlignment w:val="bottom"/>
              <w:rPr>
                <w:rFonts w:ascii="宋体" w:hAnsi="宋体" w:cs="宋体" w:hint="eastAsia"/>
                <w:color w:val="000000"/>
                <w:sz w:val="22"/>
                <w:szCs w:val="22"/>
              </w:rPr>
            </w:pPr>
            <w:r>
              <w:rPr>
                <w:rFonts w:ascii="宋体" w:hAnsi="宋体" w:cs="宋体" w:hint="eastAsia"/>
                <w:color w:val="000000"/>
                <w:kern w:val="0"/>
                <w:sz w:val="22"/>
                <w:szCs w:val="22"/>
                <w:lang/>
              </w:rPr>
              <w:t>序号</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位置</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Movita单臂电动麻醉塔</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Movita双臂电动外科塔</w:t>
            </w: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805" w:type="pct"/>
            <w:tcBorders>
              <w:top w:val="nil"/>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OR1</w:t>
            </w:r>
          </w:p>
        </w:tc>
        <w:tc>
          <w:tcPr>
            <w:tcW w:w="1754" w:type="pct"/>
            <w:tcBorders>
              <w:top w:val="nil"/>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nil"/>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2</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OR2</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3</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OR3</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4</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OR4</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5</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OR5</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6</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OR6</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7</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OR7</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8</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OR8</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9</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OR9</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10</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OR10</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11</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OR11</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12</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OR12</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w:t>
            </w: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13</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OR13</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w:t>
            </w: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14</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OR14</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w:t>
            </w: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15</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OR15</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16</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OR16</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17</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OR17</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18</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OR18</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19</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OR19</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20</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OR20</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21</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OR21</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r w:rsidR="00DC0FFF" w:rsidTr="009B1EFE">
        <w:trPr>
          <w:trHeight w:val="276"/>
        </w:trPr>
        <w:tc>
          <w:tcPr>
            <w:tcW w:w="686"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widowControl/>
              <w:jc w:val="center"/>
              <w:textAlignment w:val="bottom"/>
              <w:rPr>
                <w:rFonts w:ascii="宋体" w:hAnsi="宋体" w:cs="宋体" w:hint="eastAsia"/>
                <w:color w:val="000000"/>
                <w:sz w:val="22"/>
                <w:szCs w:val="22"/>
              </w:rPr>
            </w:pPr>
            <w:r>
              <w:rPr>
                <w:rFonts w:ascii="宋体" w:hAnsi="宋体" w:cs="宋体" w:hint="eastAsia"/>
                <w:color w:val="000000"/>
                <w:kern w:val="0"/>
                <w:sz w:val="22"/>
                <w:szCs w:val="22"/>
                <w:lang/>
              </w:rPr>
              <w:t>22</w:t>
            </w:r>
          </w:p>
        </w:tc>
        <w:tc>
          <w:tcPr>
            <w:tcW w:w="805"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OR22</w:t>
            </w:r>
          </w:p>
        </w:tc>
        <w:tc>
          <w:tcPr>
            <w:tcW w:w="1754" w:type="pct"/>
            <w:tcBorders>
              <w:top w:val="single" w:sz="4" w:space="0" w:color="000000"/>
              <w:left w:val="single" w:sz="4" w:space="0" w:color="000000"/>
              <w:bottom w:val="single" w:sz="4" w:space="0" w:color="000000"/>
              <w:right w:val="single" w:sz="4" w:space="0" w:color="000000"/>
            </w:tcBorders>
            <w:noWrap/>
            <w:vAlign w:val="center"/>
          </w:tcPr>
          <w:p w:rsidR="00DC0FFF" w:rsidRDefault="00DC0FFF" w:rsidP="009B1EFE">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54" w:type="pct"/>
            <w:tcBorders>
              <w:top w:val="single" w:sz="4" w:space="0" w:color="000000"/>
              <w:left w:val="single" w:sz="4" w:space="0" w:color="000000"/>
              <w:bottom w:val="single" w:sz="4" w:space="0" w:color="000000"/>
              <w:right w:val="single" w:sz="4" w:space="0" w:color="000000"/>
            </w:tcBorders>
            <w:noWrap/>
            <w:vAlign w:val="bottom"/>
          </w:tcPr>
          <w:p w:rsidR="00DC0FFF" w:rsidRDefault="00DC0FFF" w:rsidP="009B1EFE">
            <w:pPr>
              <w:jc w:val="center"/>
              <w:rPr>
                <w:rFonts w:ascii="宋体" w:hAnsi="宋体" w:cs="宋体" w:hint="eastAsia"/>
                <w:color w:val="000000"/>
                <w:sz w:val="22"/>
                <w:szCs w:val="22"/>
              </w:rPr>
            </w:pPr>
          </w:p>
        </w:tc>
      </w:tr>
    </w:tbl>
    <w:p w:rsidR="00DC0FFF" w:rsidRDefault="00DC0FFF" w:rsidP="00DC0FFF">
      <w:pPr>
        <w:pStyle w:val="2"/>
        <w:ind w:leftChars="0" w:left="0" w:firstLineChars="0" w:firstLine="0"/>
        <w:rPr>
          <w:rFonts w:ascii="宋体" w:hAnsi="宋体"/>
          <w:b/>
          <w:bCs/>
          <w:color w:val="000000"/>
          <w:sz w:val="22"/>
          <w:szCs w:val="22"/>
        </w:rPr>
      </w:pPr>
      <w:r>
        <w:rPr>
          <w:rFonts w:ascii="宋体" w:hAnsi="宋体" w:hint="eastAsia"/>
          <w:b/>
          <w:bCs/>
          <w:color w:val="000000"/>
          <w:sz w:val="22"/>
          <w:szCs w:val="22"/>
        </w:rPr>
        <w:t>（二）维保内容</w:t>
      </w:r>
    </w:p>
    <w:p w:rsidR="00DC0FFF" w:rsidRDefault="00DC0FFF" w:rsidP="00DC0FFF">
      <w:pPr>
        <w:tabs>
          <w:tab w:val="left" w:pos="840"/>
        </w:tabs>
        <w:spacing w:line="400" w:lineRule="exact"/>
        <w:ind w:firstLineChars="200" w:firstLine="440"/>
        <w:jc w:val="left"/>
        <w:rPr>
          <w:rFonts w:ascii="宋体" w:hAnsi="宋体"/>
          <w:color w:val="000000"/>
          <w:sz w:val="22"/>
          <w:szCs w:val="22"/>
        </w:rPr>
      </w:pPr>
      <w:r>
        <w:rPr>
          <w:rFonts w:ascii="宋体" w:hAnsi="宋体" w:hint="eastAsia"/>
          <w:color w:val="000000"/>
          <w:sz w:val="22"/>
          <w:szCs w:val="22"/>
        </w:rPr>
        <w:t>1、</w:t>
      </w:r>
      <w:r>
        <w:rPr>
          <w:rFonts w:ascii="宋体" w:hAnsi="宋体"/>
          <w:color w:val="000000"/>
          <w:sz w:val="22"/>
          <w:szCs w:val="22"/>
        </w:rPr>
        <w:t>OR1-OR22共计22套麻醉塔及OR12、OR13、OR14的3套外科塔，共计25套</w:t>
      </w:r>
      <w:r>
        <w:rPr>
          <w:rFonts w:ascii="宋体" w:hAnsi="宋体" w:hint="eastAsia"/>
          <w:color w:val="000000"/>
          <w:sz w:val="22"/>
          <w:szCs w:val="22"/>
        </w:rPr>
        <w:t>。</w:t>
      </w:r>
    </w:p>
    <w:p w:rsidR="00DC0FFF" w:rsidRDefault="00DC0FFF" w:rsidP="00DC0FFF">
      <w:pPr>
        <w:tabs>
          <w:tab w:val="left" w:pos="840"/>
        </w:tabs>
        <w:spacing w:line="400" w:lineRule="exact"/>
        <w:ind w:firstLineChars="200" w:firstLine="440"/>
        <w:jc w:val="left"/>
        <w:rPr>
          <w:rFonts w:ascii="宋体" w:hAnsi="宋体"/>
          <w:color w:val="000000"/>
          <w:sz w:val="22"/>
          <w:szCs w:val="22"/>
        </w:rPr>
      </w:pPr>
      <w:r>
        <w:rPr>
          <w:rFonts w:ascii="宋体" w:hAnsi="宋体" w:hint="eastAsia"/>
          <w:color w:val="000000"/>
          <w:sz w:val="22"/>
          <w:szCs w:val="22"/>
        </w:rPr>
        <w:lastRenderedPageBreak/>
        <w:t>2、</w:t>
      </w:r>
      <w:r>
        <w:rPr>
          <w:rFonts w:ascii="宋体" w:hAnsi="宋体"/>
          <w:color w:val="000000"/>
          <w:sz w:val="22"/>
          <w:szCs w:val="22"/>
        </w:rPr>
        <w:t>更换麻醉塔负压终端44个</w:t>
      </w:r>
      <w:r>
        <w:rPr>
          <w:rFonts w:ascii="宋体" w:hAnsi="宋体" w:hint="eastAsia"/>
          <w:color w:val="000000"/>
          <w:sz w:val="22"/>
          <w:szCs w:val="22"/>
        </w:rPr>
        <w:t>。</w:t>
      </w:r>
    </w:p>
    <w:p w:rsidR="00DC0FFF" w:rsidRDefault="00DC0FFF" w:rsidP="00DC0FFF">
      <w:pPr>
        <w:tabs>
          <w:tab w:val="left" w:pos="840"/>
        </w:tabs>
        <w:spacing w:line="400" w:lineRule="exact"/>
        <w:ind w:firstLineChars="200" w:firstLine="440"/>
        <w:jc w:val="left"/>
        <w:rPr>
          <w:rFonts w:ascii="宋体" w:hAnsi="宋体"/>
          <w:color w:val="000000"/>
          <w:sz w:val="22"/>
          <w:szCs w:val="22"/>
        </w:rPr>
      </w:pPr>
      <w:r>
        <w:rPr>
          <w:rFonts w:ascii="宋体" w:hAnsi="宋体" w:hint="eastAsia"/>
          <w:color w:val="000000"/>
          <w:sz w:val="22"/>
          <w:szCs w:val="22"/>
        </w:rPr>
        <w:t>3、</w:t>
      </w:r>
      <w:r>
        <w:rPr>
          <w:rFonts w:ascii="宋体" w:hAnsi="宋体"/>
          <w:color w:val="000000"/>
          <w:sz w:val="22"/>
          <w:szCs w:val="22"/>
        </w:rPr>
        <w:t>更换手术室墙面负压终端44个</w:t>
      </w:r>
      <w:r>
        <w:rPr>
          <w:rFonts w:ascii="宋体" w:hAnsi="宋体" w:hint="eastAsia"/>
          <w:color w:val="000000"/>
          <w:sz w:val="22"/>
          <w:szCs w:val="22"/>
        </w:rPr>
        <w:t>。</w:t>
      </w:r>
    </w:p>
    <w:p w:rsidR="00DC0FFF" w:rsidRDefault="00DC0FFF" w:rsidP="00DC0FFF">
      <w:pPr>
        <w:tabs>
          <w:tab w:val="left" w:pos="840"/>
        </w:tabs>
        <w:spacing w:line="400" w:lineRule="exact"/>
        <w:ind w:firstLineChars="200" w:firstLine="440"/>
        <w:jc w:val="left"/>
        <w:rPr>
          <w:rFonts w:ascii="宋体" w:hAnsi="宋体"/>
          <w:color w:val="000000"/>
          <w:sz w:val="22"/>
          <w:szCs w:val="22"/>
        </w:rPr>
      </w:pPr>
      <w:r>
        <w:rPr>
          <w:rFonts w:ascii="宋体" w:hAnsi="宋体" w:hint="eastAsia"/>
          <w:color w:val="000000"/>
          <w:sz w:val="22"/>
          <w:szCs w:val="22"/>
        </w:rPr>
        <w:t>4、</w:t>
      </w:r>
      <w:r>
        <w:rPr>
          <w:rFonts w:ascii="宋体" w:hAnsi="宋体"/>
          <w:color w:val="000000"/>
          <w:sz w:val="22"/>
          <w:szCs w:val="22"/>
        </w:rPr>
        <w:t>OR22、OR21、OR20、OR19、OR18、OR16、OR15、OR11、OR10、OR9笑气终端变更为二氧化碳终端，共计10个</w:t>
      </w:r>
      <w:r>
        <w:rPr>
          <w:rFonts w:ascii="宋体" w:hAnsi="宋体" w:hint="eastAsia"/>
          <w:color w:val="000000"/>
          <w:sz w:val="22"/>
          <w:szCs w:val="22"/>
        </w:rPr>
        <w:t>。</w:t>
      </w:r>
    </w:p>
    <w:p w:rsidR="00DC0FFF" w:rsidRDefault="00DC0FFF" w:rsidP="00DC0FFF">
      <w:pPr>
        <w:tabs>
          <w:tab w:val="left" w:pos="840"/>
        </w:tabs>
        <w:spacing w:line="400" w:lineRule="exact"/>
        <w:ind w:firstLineChars="200" w:firstLine="440"/>
        <w:jc w:val="left"/>
        <w:rPr>
          <w:rFonts w:ascii="宋体" w:hAnsi="宋体"/>
          <w:color w:val="000000"/>
          <w:sz w:val="22"/>
          <w:szCs w:val="22"/>
        </w:rPr>
      </w:pPr>
      <w:r>
        <w:rPr>
          <w:rFonts w:ascii="宋体" w:hAnsi="宋体" w:hint="eastAsia"/>
          <w:color w:val="000000"/>
          <w:sz w:val="22"/>
          <w:szCs w:val="22"/>
        </w:rPr>
        <w:t>5、</w:t>
      </w:r>
      <w:r>
        <w:rPr>
          <w:rFonts w:ascii="宋体" w:hAnsi="宋体"/>
          <w:color w:val="000000"/>
          <w:sz w:val="22"/>
          <w:szCs w:val="22"/>
        </w:rPr>
        <w:t>OR1-OR8每套吊塔增加6个10A插座，合计48个，OR1-OR22的22个欧变插座变更为22个美标插座，其余10A插座全部更换，共计206个</w:t>
      </w:r>
      <w:r>
        <w:rPr>
          <w:rFonts w:ascii="宋体" w:hAnsi="宋体" w:hint="eastAsia"/>
          <w:color w:val="000000"/>
          <w:sz w:val="22"/>
          <w:szCs w:val="22"/>
        </w:rPr>
        <w:t>。</w:t>
      </w:r>
    </w:p>
    <w:p w:rsidR="00DC0FFF" w:rsidRDefault="00DC0FFF" w:rsidP="00DC0FFF">
      <w:pPr>
        <w:tabs>
          <w:tab w:val="left" w:pos="840"/>
        </w:tabs>
        <w:spacing w:line="400" w:lineRule="exact"/>
        <w:ind w:firstLineChars="200" w:firstLine="440"/>
        <w:jc w:val="left"/>
        <w:rPr>
          <w:rFonts w:ascii="宋体" w:hAnsi="宋体"/>
          <w:color w:val="000000"/>
          <w:sz w:val="22"/>
          <w:szCs w:val="22"/>
        </w:rPr>
      </w:pPr>
      <w:r>
        <w:rPr>
          <w:rFonts w:ascii="宋体" w:hAnsi="宋体" w:hint="eastAsia"/>
          <w:color w:val="000000"/>
          <w:sz w:val="22"/>
          <w:szCs w:val="22"/>
        </w:rPr>
        <w:t>6、</w:t>
      </w:r>
      <w:r>
        <w:rPr>
          <w:rFonts w:ascii="宋体" w:hAnsi="宋体"/>
          <w:color w:val="000000"/>
          <w:sz w:val="22"/>
          <w:szCs w:val="22"/>
        </w:rPr>
        <w:t>每套麻醉塔增加1个输液支臂及根个输液杆，共计增加22个输液支臂、22根输液杆</w:t>
      </w:r>
      <w:r>
        <w:rPr>
          <w:rFonts w:ascii="宋体" w:hAnsi="宋体" w:hint="eastAsia"/>
          <w:color w:val="000000"/>
          <w:sz w:val="22"/>
          <w:szCs w:val="22"/>
        </w:rPr>
        <w:t>。</w:t>
      </w:r>
    </w:p>
    <w:p w:rsidR="00DC0FFF" w:rsidRDefault="00DC0FFF" w:rsidP="00DC0FFF">
      <w:pPr>
        <w:tabs>
          <w:tab w:val="left" w:pos="840"/>
        </w:tabs>
        <w:spacing w:line="400" w:lineRule="exact"/>
        <w:jc w:val="left"/>
        <w:rPr>
          <w:rFonts w:ascii="宋体" w:hAnsi="宋体"/>
          <w:b/>
          <w:bCs/>
          <w:color w:val="000000"/>
          <w:sz w:val="22"/>
          <w:szCs w:val="22"/>
        </w:rPr>
      </w:pPr>
      <w:r>
        <w:rPr>
          <w:rFonts w:ascii="宋体" w:hAnsi="宋体" w:hint="eastAsia"/>
          <w:b/>
          <w:bCs/>
          <w:color w:val="000000"/>
          <w:sz w:val="22"/>
          <w:szCs w:val="22"/>
        </w:rPr>
        <w:t>四、验收要求</w:t>
      </w:r>
    </w:p>
    <w:p w:rsidR="00DC0FFF" w:rsidRDefault="00DC0FFF" w:rsidP="00DC0FFF">
      <w:pPr>
        <w:pStyle w:val="1"/>
        <w:ind w:firstLineChars="200" w:firstLine="440"/>
        <w:jc w:val="left"/>
        <w:rPr>
          <w:rFonts w:hAnsi="宋体"/>
          <w:b w:val="0"/>
          <w:bCs/>
          <w:color w:val="000000"/>
          <w:sz w:val="22"/>
          <w:szCs w:val="22"/>
        </w:rPr>
      </w:pPr>
      <w:r>
        <w:rPr>
          <w:rFonts w:hAnsi="宋体"/>
          <w:b w:val="0"/>
          <w:bCs/>
          <w:color w:val="000000"/>
          <w:sz w:val="22"/>
          <w:szCs w:val="22"/>
        </w:rPr>
        <w:t>验收由采购人、中标人及相关人员依国家有关标准、合同</w:t>
      </w:r>
      <w:r>
        <w:rPr>
          <w:rFonts w:hAnsi="宋体" w:hint="eastAsia"/>
          <w:b w:val="0"/>
          <w:bCs/>
          <w:color w:val="000000"/>
          <w:sz w:val="22"/>
          <w:szCs w:val="22"/>
        </w:rPr>
        <w:t>、招投标文件</w:t>
      </w:r>
      <w:r>
        <w:rPr>
          <w:rFonts w:hAnsi="宋体"/>
          <w:b w:val="0"/>
          <w:bCs/>
          <w:color w:val="000000"/>
          <w:sz w:val="22"/>
          <w:szCs w:val="22"/>
        </w:rPr>
        <w:t>及有关附件要求进行，验收完毕由采购人代表及中标人代表在验收报告上签字。</w:t>
      </w:r>
    </w:p>
    <w:p w:rsidR="00C71835" w:rsidRDefault="00C71835">
      <w:bookmarkStart w:id="10" w:name="_GoBack"/>
      <w:bookmarkEnd w:id="10"/>
    </w:p>
    <w:sectPr w:rsidR="00C71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0"/>
    <w:rsid w:val="00055C10"/>
    <w:rsid w:val="00C71835"/>
    <w:rsid w:val="00DC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C0FFF"/>
    <w:pPr>
      <w:widowControl w:val="0"/>
      <w:jc w:val="both"/>
    </w:pPr>
    <w:rPr>
      <w:rFonts w:ascii="Times New Roman" w:eastAsia="宋体" w:hAnsi="Times New Roman" w:cs="Times New Roman"/>
      <w:szCs w:val="24"/>
    </w:rPr>
  </w:style>
  <w:style w:type="paragraph" w:styleId="1">
    <w:name w:val="heading 1"/>
    <w:basedOn w:val="a"/>
    <w:next w:val="a"/>
    <w:link w:val="1Char"/>
    <w:qFormat/>
    <w:rsid w:val="00DC0FFF"/>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0FFF"/>
    <w:rPr>
      <w:rFonts w:ascii="宋体" w:eastAsia="宋体" w:hAnsi="Times New Roman" w:cs="Times New Roman"/>
      <w:b/>
      <w:kern w:val="44"/>
      <w:sz w:val="32"/>
      <w:szCs w:val="20"/>
    </w:rPr>
  </w:style>
  <w:style w:type="paragraph" w:styleId="a3">
    <w:name w:val="Body Text Indent"/>
    <w:basedOn w:val="a"/>
    <w:link w:val="Char"/>
    <w:uiPriority w:val="99"/>
    <w:semiHidden/>
    <w:unhideWhenUsed/>
    <w:rsid w:val="00DC0FFF"/>
    <w:pPr>
      <w:spacing w:after="120"/>
      <w:ind w:leftChars="200" w:left="420"/>
    </w:pPr>
  </w:style>
  <w:style w:type="character" w:customStyle="1" w:styleId="Char">
    <w:name w:val="正文文本缩进 Char"/>
    <w:basedOn w:val="a0"/>
    <w:link w:val="a3"/>
    <w:uiPriority w:val="99"/>
    <w:semiHidden/>
    <w:rsid w:val="00DC0FFF"/>
    <w:rPr>
      <w:rFonts w:ascii="Times New Roman" w:eastAsia="宋体" w:hAnsi="Times New Roman" w:cs="Times New Roman"/>
      <w:szCs w:val="24"/>
    </w:rPr>
  </w:style>
  <w:style w:type="paragraph" w:styleId="2">
    <w:name w:val="Body Text First Indent 2"/>
    <w:basedOn w:val="a3"/>
    <w:next w:val="a"/>
    <w:link w:val="2Char"/>
    <w:qFormat/>
    <w:rsid w:val="00DC0FFF"/>
    <w:pPr>
      <w:tabs>
        <w:tab w:val="left" w:pos="5580"/>
      </w:tabs>
      <w:ind w:firstLineChars="200" w:firstLine="420"/>
    </w:pPr>
  </w:style>
  <w:style w:type="character" w:customStyle="1" w:styleId="2Char">
    <w:name w:val="正文首行缩进 2 Char"/>
    <w:basedOn w:val="Char"/>
    <w:link w:val="2"/>
    <w:rsid w:val="00DC0FFF"/>
    <w:rPr>
      <w:rFonts w:ascii="Times New Roman" w:eastAsia="宋体" w:hAnsi="Times New Roman" w:cs="Times New Roman"/>
      <w:szCs w:val="24"/>
    </w:rPr>
  </w:style>
  <w:style w:type="paragraph" w:styleId="a4">
    <w:name w:val="List Paragraph"/>
    <w:basedOn w:val="a"/>
    <w:uiPriority w:val="34"/>
    <w:qFormat/>
    <w:rsid w:val="00DC0FF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C0FFF"/>
    <w:pPr>
      <w:widowControl w:val="0"/>
      <w:jc w:val="both"/>
    </w:pPr>
    <w:rPr>
      <w:rFonts w:ascii="Times New Roman" w:eastAsia="宋体" w:hAnsi="Times New Roman" w:cs="Times New Roman"/>
      <w:szCs w:val="24"/>
    </w:rPr>
  </w:style>
  <w:style w:type="paragraph" w:styleId="1">
    <w:name w:val="heading 1"/>
    <w:basedOn w:val="a"/>
    <w:next w:val="a"/>
    <w:link w:val="1Char"/>
    <w:qFormat/>
    <w:rsid w:val="00DC0FFF"/>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0FFF"/>
    <w:rPr>
      <w:rFonts w:ascii="宋体" w:eastAsia="宋体" w:hAnsi="Times New Roman" w:cs="Times New Roman"/>
      <w:b/>
      <w:kern w:val="44"/>
      <w:sz w:val="32"/>
      <w:szCs w:val="20"/>
    </w:rPr>
  </w:style>
  <w:style w:type="paragraph" w:styleId="a3">
    <w:name w:val="Body Text Indent"/>
    <w:basedOn w:val="a"/>
    <w:link w:val="Char"/>
    <w:uiPriority w:val="99"/>
    <w:semiHidden/>
    <w:unhideWhenUsed/>
    <w:rsid w:val="00DC0FFF"/>
    <w:pPr>
      <w:spacing w:after="120"/>
      <w:ind w:leftChars="200" w:left="420"/>
    </w:pPr>
  </w:style>
  <w:style w:type="character" w:customStyle="1" w:styleId="Char">
    <w:name w:val="正文文本缩进 Char"/>
    <w:basedOn w:val="a0"/>
    <w:link w:val="a3"/>
    <w:uiPriority w:val="99"/>
    <w:semiHidden/>
    <w:rsid w:val="00DC0FFF"/>
    <w:rPr>
      <w:rFonts w:ascii="Times New Roman" w:eastAsia="宋体" w:hAnsi="Times New Roman" w:cs="Times New Roman"/>
      <w:szCs w:val="24"/>
    </w:rPr>
  </w:style>
  <w:style w:type="paragraph" w:styleId="2">
    <w:name w:val="Body Text First Indent 2"/>
    <w:basedOn w:val="a3"/>
    <w:next w:val="a"/>
    <w:link w:val="2Char"/>
    <w:qFormat/>
    <w:rsid w:val="00DC0FFF"/>
    <w:pPr>
      <w:tabs>
        <w:tab w:val="left" w:pos="5580"/>
      </w:tabs>
      <w:ind w:firstLineChars="200" w:firstLine="420"/>
    </w:pPr>
  </w:style>
  <w:style w:type="character" w:customStyle="1" w:styleId="2Char">
    <w:name w:val="正文首行缩进 2 Char"/>
    <w:basedOn w:val="Char"/>
    <w:link w:val="2"/>
    <w:rsid w:val="00DC0FFF"/>
    <w:rPr>
      <w:rFonts w:ascii="Times New Roman" w:eastAsia="宋体" w:hAnsi="Times New Roman" w:cs="Times New Roman"/>
      <w:szCs w:val="24"/>
    </w:rPr>
  </w:style>
  <w:style w:type="paragraph" w:styleId="a4">
    <w:name w:val="List Paragraph"/>
    <w:basedOn w:val="a"/>
    <w:uiPriority w:val="34"/>
    <w:qFormat/>
    <w:rsid w:val="00DC0F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1405</Characters>
  <Application>Microsoft Office Word</Application>
  <DocSecurity>0</DocSecurity>
  <Lines>11</Lines>
  <Paragraphs>3</Paragraphs>
  <ScaleCrop>false</ScaleCrop>
  <Company>Organization</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2024-03-20T07:25:00Z</dcterms:created>
  <dcterms:modified xsi:type="dcterms:W3CDTF">2024-03-20T07:25:00Z</dcterms:modified>
</cp:coreProperties>
</file>